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6405"/>
        </w:tabs>
        <w:spacing w:after="80" w:line="240" w:lineRule="auto"/>
        <w:ind w:firstLine="7"/>
        <w:jc w:val="center"/>
        <w:rPr>
          <w:rFonts w:ascii="黑体" w:hAnsi="黑体" w:eastAsia="黑体"/>
          <w:sz w:val="36"/>
          <w:szCs w:val="36"/>
        </w:rPr>
      </w:pPr>
      <w:r>
        <w:rPr>
          <w:rFonts w:hint="eastAsia" w:ascii="黑体" w:hAnsi="黑体" w:eastAsia="黑体"/>
          <w:sz w:val="36"/>
          <w:szCs w:val="36"/>
        </w:rPr>
        <w:t>《金融科技创新应用声明书》</w:t>
      </w:r>
    </w:p>
    <w:tbl>
      <w:tblPr>
        <w:tblStyle w:val="14"/>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100"/>
        <w:gridCol w:w="347"/>
        <w:gridCol w:w="393"/>
        <w:gridCol w:w="1389"/>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8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创新应用</w:t>
            </w:r>
          </w:p>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基本信息</w:t>
            </w: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创新应用编号</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91370100732620512E</w:t>
            </w:r>
            <w:r>
              <w:rPr>
                <w:rFonts w:ascii="仿宋_GB2312" w:hAnsi="仿宋_GB2312" w:eastAsia="仿宋_GB2312" w:cs="仿宋_GB2312"/>
                <w:szCs w:val="21"/>
              </w:rPr>
              <w:t>-202</w:t>
            </w:r>
            <w:r>
              <w:rPr>
                <w:rFonts w:hint="eastAsia" w:ascii="仿宋_GB2312" w:hAnsi="仿宋_GB2312" w:eastAsia="仿宋_GB2312" w:cs="仿宋_GB2312"/>
                <w:szCs w:val="21"/>
              </w:rPr>
              <w:t>5</w:t>
            </w:r>
            <w:r>
              <w:rPr>
                <w:rFonts w:ascii="仿宋_GB2312" w:hAnsi="仿宋_GB2312" w:eastAsia="仿宋_GB2312" w:cs="仿宋_GB2312"/>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创新应用名称</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基于大数据技术的小微融资服务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创新应用类型</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金融服务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机构信息</w:t>
            </w:r>
            <w:r>
              <w:rPr>
                <w:rFonts w:hint="eastAsia" w:ascii="仿宋_GB2312" w:hAnsi="仿宋_GB2312" w:eastAsia="仿宋_GB2312" w:cs="仿宋_GB2312"/>
                <w:szCs w:val="21"/>
                <w:vertAlign w:val="superscript"/>
              </w:rPr>
              <w:t>1</w:t>
            </w:r>
          </w:p>
        </w:tc>
        <w:tc>
          <w:tcPr>
            <w:tcW w:w="2129" w:type="dxa"/>
            <w:gridSpan w:val="3"/>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3424"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91370100732620512E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2129" w:type="dxa"/>
            <w:gridSpan w:val="3"/>
            <w:vAlign w:val="center"/>
          </w:tcPr>
          <w:p>
            <w:pPr>
              <w:spacing w:after="0" w:line="360" w:lineRule="exact"/>
              <w:ind w:left="-101" w:leftChars="-48" w:right="-92" w:rightChars="-44"/>
              <w:jc w:val="center"/>
              <w:rPr>
                <w:rFonts w:ascii="仿宋_GB2312" w:hAnsi="仿宋_GB2312" w:eastAsia="仿宋_GB2312" w:cs="仿宋_GB2312"/>
                <w:szCs w:val="21"/>
              </w:rPr>
            </w:pPr>
            <w:r>
              <w:rPr>
                <w:rFonts w:hint="eastAsia" w:ascii="仿宋_GB2312" w:hAnsi="仿宋_GB2312" w:eastAsia="仿宋_GB2312" w:cs="仿宋_GB2312"/>
                <w:szCs w:val="21"/>
              </w:rPr>
              <w:t>全球法人识别编码</w:t>
            </w:r>
          </w:p>
        </w:tc>
        <w:tc>
          <w:tcPr>
            <w:tcW w:w="3424" w:type="dxa"/>
            <w:vAlign w:val="center"/>
          </w:tcPr>
          <w:p>
            <w:pPr>
              <w:spacing w:after="0" w:line="360" w:lineRule="exact"/>
              <w:jc w:val="center"/>
              <w:rPr>
                <w:rFonts w:ascii="仿宋_GB2312" w:hAnsi="仿宋_GB2312" w:eastAsia="仿宋_GB2312" w:cs="仿宋_GB2312"/>
                <w:szCs w:val="21"/>
              </w:rPr>
            </w:pPr>
            <w:r>
              <w:rPr>
                <w:rFonts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2129" w:type="dxa"/>
            <w:gridSpan w:val="3"/>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机构名称</w:t>
            </w:r>
          </w:p>
        </w:tc>
        <w:tc>
          <w:tcPr>
            <w:tcW w:w="3424"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中国民生银行股份有限公司济南分行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2129" w:type="dxa"/>
            <w:gridSpan w:val="3"/>
            <w:vAlign w:val="center"/>
          </w:tcPr>
          <w:p>
            <w:pPr>
              <w:spacing w:after="0" w:line="360" w:lineRule="exact"/>
              <w:ind w:left="-101" w:leftChars="-48" w:right="-92" w:rightChars="-44"/>
              <w:jc w:val="center"/>
              <w:rPr>
                <w:rFonts w:ascii="仿宋_GB2312" w:hAnsi="仿宋_GB2312" w:eastAsia="仿宋_GB2312" w:cs="仿宋_GB2312"/>
                <w:szCs w:val="21"/>
              </w:rPr>
            </w:pPr>
            <w:r>
              <w:rPr>
                <w:rFonts w:hint="eastAsia" w:ascii="仿宋_GB2312" w:hAnsi="仿宋_GB2312" w:eastAsia="仿宋_GB2312" w:cs="仿宋_GB2312"/>
                <w:szCs w:val="21"/>
              </w:rPr>
              <w:t>持有金融牌照信息</w:t>
            </w:r>
          </w:p>
        </w:tc>
        <w:tc>
          <w:tcPr>
            <w:tcW w:w="3424" w:type="dxa"/>
            <w:vAlign w:val="center"/>
          </w:tcPr>
          <w:p>
            <w:pPr>
              <w:spacing w:after="0" w:line="360" w:lineRule="exact"/>
              <w:rPr>
                <w:rFonts w:ascii="仿宋_GB2312" w:hAnsi="Times New Roman" w:eastAsia="仿宋_GB2312" w:cs="仿宋"/>
                <w:kern w:val="0"/>
                <w:szCs w:val="21"/>
              </w:rPr>
            </w:pPr>
            <w:r>
              <w:rPr>
                <w:rFonts w:hint="eastAsia" w:ascii="仿宋_GB2312" w:hAnsi="Times New Roman" w:eastAsia="仿宋_GB2312" w:cs="仿宋"/>
                <w:kern w:val="0"/>
                <w:szCs w:val="21"/>
              </w:rPr>
              <w:t>牌照名称：中华人民共和国金融许可证</w:t>
            </w:r>
          </w:p>
          <w:p>
            <w:pPr>
              <w:spacing w:after="0" w:line="360" w:lineRule="exact"/>
              <w:rPr>
                <w:rFonts w:ascii="仿宋_GB2312" w:hAnsi="Times New Roman" w:eastAsia="仿宋_GB2312" w:cs="仿宋"/>
                <w:kern w:val="0"/>
                <w:szCs w:val="21"/>
              </w:rPr>
            </w:pPr>
            <w:r>
              <w:rPr>
                <w:rFonts w:hint="eastAsia" w:ascii="仿宋_GB2312" w:hAnsi="Times New Roman" w:eastAsia="仿宋_GB2312" w:cs="仿宋"/>
                <w:kern w:val="0"/>
                <w:szCs w:val="21"/>
              </w:rPr>
              <w:t>机构编码： B0009B237010001</w:t>
            </w:r>
          </w:p>
          <w:p>
            <w:pPr>
              <w:spacing w:after="0" w:line="360" w:lineRule="exact"/>
              <w:rPr>
                <w:rFonts w:ascii="仿宋_GB2312" w:hAnsi="仿宋_GB2312" w:eastAsia="仿宋_GB2312" w:cs="仿宋_GB2312"/>
                <w:szCs w:val="21"/>
                <w:highlight w:val="yellow"/>
              </w:rPr>
            </w:pPr>
            <w:r>
              <w:rPr>
                <w:rFonts w:hint="eastAsia" w:ascii="仿宋_GB2312" w:hAnsi="Times New Roman" w:eastAsia="仿宋_GB2312" w:cs="仿宋"/>
                <w:kern w:val="0"/>
                <w:szCs w:val="21"/>
              </w:rPr>
              <w:t>发证机关：中国银行保险监督管理委员会山东监管局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拟正式运营时间</w:t>
            </w:r>
          </w:p>
        </w:tc>
        <w:tc>
          <w:tcPr>
            <w:tcW w:w="5553" w:type="dxa"/>
            <w:gridSpan w:val="4"/>
            <w:vAlign w:val="center"/>
          </w:tcPr>
          <w:p>
            <w:pPr>
              <w:spacing w:after="0" w:line="360" w:lineRule="exact"/>
              <w:jc w:val="center"/>
              <w:rPr>
                <w:rFonts w:ascii="仿宋_GB2312" w:hAnsi="仿宋_GB2312" w:cs="仿宋_GB2312"/>
                <w:szCs w:val="21"/>
              </w:rPr>
            </w:pPr>
            <w:r>
              <w:rPr>
                <w:rFonts w:hint="eastAsia" w:ascii="仿宋_GB2312" w:hAnsi="仿宋_GB2312" w:eastAsia="仿宋_GB2312" w:cs="仿宋_GB2312"/>
                <w:szCs w:val="21"/>
              </w:rPr>
              <w:t>2026年03月31日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技术应用</w:t>
            </w:r>
          </w:p>
        </w:tc>
        <w:tc>
          <w:tcPr>
            <w:tcW w:w="5553" w:type="dxa"/>
            <w:gridSpan w:val="4"/>
            <w:vAlign w:val="center"/>
          </w:tcPr>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1.运用大数据技术对政务数据、流水、税票等多源数据进行分析挖掘与处理，构建规则模型进行智能分析和交叉验证，提升银行信贷审查质效。</w:t>
            </w:r>
          </w:p>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2.基于光学字符识别（OCR）技术，将客户支付流水等非结构化数据转换为结构化数据，识别提取收付标志、交易金额、对手方等信息。</w:t>
            </w:r>
          </w:p>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3.运用数据可视化技术,将复杂的数据分析结果以模块化调查报告以及直观的图表形式展示给客户经理和评审人员，方便业务人员快速理解和应用数据分析结果。</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功能服务</w:t>
            </w:r>
          </w:p>
        </w:tc>
        <w:tc>
          <w:tcPr>
            <w:tcW w:w="5553" w:type="dxa"/>
            <w:gridSpan w:val="4"/>
            <w:vAlign w:val="center"/>
          </w:tcPr>
          <w:p>
            <w:pPr>
              <w:spacing w:after="0" w:line="360" w:lineRule="exact"/>
              <w:jc w:val="both"/>
              <w:rPr>
                <w:rFonts w:ascii="仿宋_GB2312" w:hAnsi="仿宋_GB2312" w:eastAsia="仿宋_GB2312" w:cs="仿宋_GB2312"/>
                <w:szCs w:val="21"/>
              </w:rPr>
            </w:pPr>
            <w:r>
              <w:rPr>
                <w:rFonts w:ascii="仿宋_GB2312" w:hAnsi="仿宋_GB2312" w:eastAsia="仿宋_GB2312" w:cs="仿宋_GB2312"/>
                <w:szCs w:val="21"/>
              </w:rPr>
              <w:t>本应用</w:t>
            </w:r>
            <w:r>
              <w:rPr>
                <w:rFonts w:hint="eastAsia" w:ascii="仿宋_GB2312" w:hAnsi="仿宋_GB2312" w:eastAsia="仿宋_GB2312" w:cs="仿宋_GB2312"/>
                <w:szCs w:val="21"/>
              </w:rPr>
              <w:t>综合运用大数据、</w:t>
            </w:r>
            <w:r>
              <w:rPr>
                <w:rFonts w:ascii="仿宋_GB2312" w:hAnsi="仿宋_GB2312" w:eastAsia="仿宋_GB2312" w:cs="仿宋_GB2312"/>
                <w:szCs w:val="21"/>
              </w:rPr>
              <w:t>光学字符</w:t>
            </w:r>
            <w:r>
              <w:rPr>
                <w:rFonts w:hint="eastAsia" w:ascii="仿宋_GB2312" w:hAnsi="仿宋_GB2312" w:eastAsia="仿宋_GB2312" w:cs="仿宋_GB2312"/>
                <w:szCs w:val="21"/>
              </w:rPr>
              <w:t>识别等技术，搭建小微融资服务平台，对行内外数据进行融合应用，自动生成授信资料代替纸质资料，实时向客户经理反馈贷前调查要点、待补充资料清单，模块化形式输出调查报告，缓解</w:t>
            </w:r>
            <w:r>
              <w:rPr>
                <w:rFonts w:ascii="仿宋_GB2312" w:hAnsi="仿宋_GB2312" w:eastAsia="仿宋_GB2312" w:cs="仿宋_GB2312"/>
                <w:szCs w:val="21"/>
              </w:rPr>
              <w:t>小微客户授信申请资料繁琐、审批周期长、纸质材料时效差、无法交叉验证等问题，</w:t>
            </w:r>
            <w:r>
              <w:rPr>
                <w:rFonts w:hint="eastAsia" w:ascii="仿宋_GB2312" w:hAnsi="仿宋_GB2312" w:eastAsia="仿宋_GB2312" w:cs="仿宋_GB2312"/>
                <w:szCs w:val="21"/>
              </w:rPr>
              <w:t>为小微客户提供更为便捷、高效的信贷服务。</w:t>
            </w:r>
          </w:p>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本应用由中国民生银行股份有限公司济南分行负责系统研发运维并提供金融应用场景</w:t>
            </w:r>
            <w:r>
              <w:rPr>
                <w:rFonts w:ascii="仿宋_GB2312" w:hAnsi="仿宋_GB2312" w:eastAsia="仿宋_GB2312" w:cs="仿宋_GB2312"/>
                <w:szCs w:val="21"/>
              </w:rPr>
              <w:t>。</w:t>
            </w:r>
            <w:r>
              <w:rPr>
                <w:rFonts w:hint="eastAsia" w:ascii="仿宋_GB2312" w:hAnsi="仿宋_GB2312" w:eastAsia="仿宋_GB2312" w:cs="仿宋_GB2312"/>
                <w:szCs w:val="21"/>
              </w:rPr>
              <w:t>此外无其他第三方机构参与。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eastAsia="仿宋_GB2312"/>
                <w:szCs w:val="21"/>
              </w:rPr>
              <w:t>创新性说明</w:t>
            </w:r>
          </w:p>
        </w:tc>
        <w:tc>
          <w:tcPr>
            <w:tcW w:w="5553" w:type="dxa"/>
            <w:gridSpan w:val="4"/>
            <w:vAlign w:val="center"/>
          </w:tcPr>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1.</w:t>
            </w:r>
            <w:bookmarkStart w:id="0" w:name="OLE_LINK4"/>
            <w:bookmarkStart w:id="1" w:name="OLE_LINK2"/>
            <w:r>
              <w:rPr>
                <w:rFonts w:hint="eastAsia" w:ascii="仿宋_GB2312" w:hAnsi="仿宋_GB2312" w:eastAsia="仿宋_GB2312" w:cs="仿宋_GB2312"/>
                <w:szCs w:val="21"/>
              </w:rPr>
              <w:t>数据基础方面，改变</w:t>
            </w:r>
            <w:r>
              <w:rPr>
                <w:rFonts w:ascii="仿宋_GB2312" w:hAnsi="仿宋_GB2312" w:eastAsia="仿宋_GB2312" w:cs="仿宋_GB2312"/>
                <w:szCs w:val="21"/>
              </w:rPr>
              <w:t>传统依赖人工收集分散纸质材料的低效方式</w:t>
            </w:r>
            <w:r>
              <w:rPr>
                <w:rFonts w:hint="eastAsia" w:ascii="仿宋_GB2312" w:hAnsi="仿宋_GB2312" w:eastAsia="仿宋_GB2312" w:cs="仿宋_GB2312"/>
                <w:szCs w:val="21"/>
              </w:rPr>
              <w:t>，通过融合泉城链政务数据、支付流水数据以及税票数据等多种数据源，打破数据孤岛，为小微融资决策提供更丰富的数据基础。</w:t>
            </w:r>
            <w:bookmarkEnd w:id="0"/>
            <w:bookmarkEnd w:id="1"/>
          </w:p>
          <w:p>
            <w:pPr>
              <w:spacing w:after="0" w:line="360" w:lineRule="exact"/>
              <w:jc w:val="both"/>
              <w:rPr>
                <w:rFonts w:ascii="仿宋_GB2312" w:hAnsi="仿宋_GB2312" w:eastAsia="仿宋_GB2312" w:cs="仿宋_GB2312"/>
                <w:szCs w:val="21"/>
                <w:lang w:bidi="ar"/>
              </w:rPr>
            </w:pPr>
            <w:r>
              <w:rPr>
                <w:rFonts w:hint="eastAsia" w:ascii="仿宋_GB2312" w:hAnsi="仿宋_GB2312" w:eastAsia="仿宋_GB2312" w:cs="仿宋_GB2312"/>
                <w:szCs w:val="21"/>
              </w:rPr>
              <w:t>2.业务流程方面，改变以往根据评审意见反复调查、联系客户多次补充资料的情况，基于融合后的数据，通过预设的规则和模板，自动生成授信所需的各类资料。并</w:t>
            </w:r>
            <w:r>
              <w:rPr>
                <w:rFonts w:hint="eastAsia" w:ascii="仿宋_GB2312" w:hAnsi="仿宋_GB2312" w:eastAsia="仿宋_GB2312" w:cs="仿宋_GB2312"/>
                <w:szCs w:val="21"/>
                <w:lang w:bidi="ar"/>
              </w:rPr>
              <w:t>通过移动APP实时反馈调查要点，实现普惠信贷业务“一次办好”，提升客户服务体验和业务办理效率。</w:t>
            </w:r>
          </w:p>
          <w:p>
            <w:pPr>
              <w:spacing w:after="0" w:line="360" w:lineRule="exact"/>
              <w:jc w:val="both"/>
              <w:rPr>
                <w:rFonts w:ascii="仿宋_GB2312" w:hAnsi="仿宋_GB2312" w:eastAsia="仿宋_GB2312" w:cs="仿宋_GB2312"/>
                <w:szCs w:val="21"/>
                <w:lang w:bidi="ar"/>
              </w:rPr>
            </w:pPr>
            <w:r>
              <w:rPr>
                <w:rFonts w:hint="eastAsia" w:ascii="仿宋_GB2312" w:hAnsi="仿宋_GB2312" w:eastAsia="仿宋_GB2312" w:cs="仿宋_GB2312"/>
                <w:szCs w:val="21"/>
                <w:lang w:bidi="ar"/>
              </w:rPr>
              <w:t>3.风控能力方面，改变以往由人工进行风险评估的工作方式，运用大数据技术对政务数据、流水、税票等多源数据进行分析挖掘与处理，构建规则模型进行智能分析和交叉验证，多维度评估客户贷款风险，提高银行信贷风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预期效果</w:t>
            </w:r>
          </w:p>
        </w:tc>
        <w:tc>
          <w:tcPr>
            <w:tcW w:w="5553" w:type="dxa"/>
            <w:gridSpan w:val="4"/>
            <w:vAlign w:val="center"/>
          </w:tcPr>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通过数字化重构传统服务模式，将缩短小微企业融资审批时间，加快资金到账速度，提升小微企业的金融服务效率，同时有助于我行提高服务小微企业的专业化能力，提升普惠金融品牌在山东地区的品牌影响力。</w:t>
            </w:r>
          </w:p>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2.预期可通过模式复制</w:t>
            </w:r>
            <w:r>
              <w:rPr>
                <w:rFonts w:ascii="仿宋_GB2312" w:hAnsi="仿宋_GB2312" w:eastAsia="仿宋_GB2312" w:cs="仿宋_GB2312"/>
                <w:szCs w:val="21"/>
              </w:rPr>
              <w:t>，推动金融服务与实体经济的深度融合</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预期规模</w:t>
            </w:r>
          </w:p>
        </w:tc>
        <w:tc>
          <w:tcPr>
            <w:tcW w:w="5553" w:type="dxa"/>
            <w:gridSpan w:val="4"/>
            <w:vAlign w:val="center"/>
          </w:tcPr>
          <w:p>
            <w:pPr>
              <w:spacing w:after="0" w:line="360" w:lineRule="exact"/>
              <w:jc w:val="both"/>
              <w:rPr>
                <w:rFonts w:eastAsia="仿宋_GB2312"/>
              </w:rPr>
            </w:pPr>
            <w:r>
              <w:rPr>
                <w:rFonts w:hint="eastAsia" w:ascii="仿宋_GB2312" w:hAnsi="仿宋_GB2312" w:eastAsia="仿宋_GB2312" w:cs="仿宋_GB2312"/>
                <w:szCs w:val="21"/>
              </w:rPr>
              <w:t>按照风险可控原则合理确定用户范围和服务规模，预计年度赋能小微企业授信业务约2000笔，年度授信金额约30亿。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创新应用</w:t>
            </w:r>
          </w:p>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服务信息</w:t>
            </w: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服务渠道</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ascii="仿宋_GB2312" w:hAnsi="仿宋_GB2312" w:eastAsia="仿宋_GB2312" w:cs="仿宋_GB2312"/>
                <w:szCs w:val="21"/>
              </w:rPr>
              <w:t>线下网点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服务时间</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ascii="仿宋_GB2312" w:eastAsia="仿宋_GB2312" w:hAnsiTheme="minorEastAsia" w:cstheme="minorEastAsia"/>
                <w:szCs w:val="21"/>
              </w:rPr>
              <w:t>5</w:t>
            </w:r>
            <w:r>
              <w:rPr>
                <w:rFonts w:hint="eastAsia" w:ascii="仿宋_GB2312" w:eastAsia="仿宋_GB2312" w:hAnsiTheme="minorEastAsia" w:cstheme="minorEastAsia"/>
                <w:szCs w:val="21"/>
              </w:rPr>
              <w:t>×</w:t>
            </w:r>
            <w:r>
              <w:rPr>
                <w:rFonts w:ascii="仿宋_GB2312" w:eastAsia="仿宋_GB2312" w:hAnsiTheme="minorEastAsia" w:cstheme="minorEastAsia"/>
                <w:szCs w:val="21"/>
              </w:rPr>
              <w:t>8</w:t>
            </w:r>
            <w:r>
              <w:rPr>
                <w:rFonts w:hint="eastAsia" w:ascii="仿宋_GB2312" w:eastAsia="仿宋_GB2312" w:hAnsiTheme="minorEastAsia" w:cstheme="minorEastAsia"/>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服务用户</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小微法人客户、小微个人客户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服务协议书</w:t>
            </w:r>
          </w:p>
        </w:tc>
        <w:tc>
          <w:tcPr>
            <w:tcW w:w="5553" w:type="dxa"/>
            <w:gridSpan w:val="4"/>
            <w:vAlign w:val="center"/>
          </w:tcPr>
          <w:p>
            <w:pPr>
              <w:pStyle w:val="2"/>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本应用服务协议包括：</w:t>
            </w:r>
          </w:p>
          <w:p>
            <w:pPr>
              <w:pStyle w:val="2"/>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1.《综合授信合同》（见附件1-1-1）</w:t>
            </w:r>
          </w:p>
          <w:p>
            <w:pPr>
              <w:pStyle w:val="2"/>
              <w:rPr>
                <w:rFonts w:ascii="仿宋_GB2312" w:hAnsi="仿宋_GB2312" w:eastAsia="仿宋_GB2312" w:cs="仿宋_GB2312"/>
                <w:szCs w:val="21"/>
              </w:rPr>
            </w:pPr>
            <w:r>
              <w:rPr>
                <w:rFonts w:hint="eastAsia" w:ascii="仿宋_GB2312" w:hAnsi="仿宋_GB2312" w:eastAsia="仿宋_GB2312" w:cs="仿宋_GB2312"/>
                <w:szCs w:val="21"/>
              </w:rPr>
              <w:t>2.《个人信息查询、使用授权书》（见附件1-1-2）</w:t>
            </w:r>
          </w:p>
          <w:p>
            <w:pPr>
              <w:pStyle w:val="2"/>
              <w:rPr>
                <w:rFonts w:ascii="仿宋_GB2312" w:hAnsi="仿宋_GB2312" w:eastAsia="仿宋_GB2312" w:cs="仿宋_GB2312"/>
                <w:szCs w:val="21"/>
              </w:rPr>
            </w:pPr>
            <w:r>
              <w:rPr>
                <w:rFonts w:hint="eastAsia" w:ascii="仿宋_GB2312" w:hAnsi="仿宋_GB2312" w:eastAsia="仿宋_GB2312" w:cs="仿宋_GB2312"/>
                <w:szCs w:val="21"/>
              </w:rPr>
              <w:t>3.《企业信息查询、使用授权书》（见附件1-1-3）</w:t>
            </w:r>
          </w:p>
          <w:p>
            <w:pPr>
              <w:pStyle w:val="2"/>
              <w:spacing w:after="0" w:line="360" w:lineRule="exact"/>
            </w:pPr>
            <w:r>
              <w:rPr>
                <w:rFonts w:hint="eastAsia" w:ascii="仿宋_GB2312" w:hAnsi="仿宋_GB2312" w:eastAsia="仿宋_GB2312" w:cs="仿宋_GB2312"/>
                <w:szCs w:val="21"/>
              </w:rPr>
              <w:t>4.《民生银行“泉城链”数据使用客户授权书》（见附件1-1-4）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合法合规性评估</w:t>
            </w: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评估机构</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中国民生银行股份有限公司济南分行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评估时间</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2025年4月21日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有效期限</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评估结论</w:t>
            </w:r>
          </w:p>
        </w:tc>
        <w:tc>
          <w:tcPr>
            <w:tcW w:w="5553" w:type="dxa"/>
            <w:gridSpan w:val="4"/>
            <w:vAlign w:val="center"/>
          </w:tcPr>
          <w:p>
            <w:pPr>
              <w:spacing w:after="0" w:line="360" w:lineRule="exact"/>
            </w:pPr>
            <w:r>
              <w:rPr>
                <w:rFonts w:hint="eastAsia" w:ascii="仿宋_GB2312" w:hAnsi="仿宋_GB2312" w:eastAsia="仿宋_GB2312" w:cs="仿宋_GB2312"/>
                <w:szCs w:val="21"/>
              </w:rPr>
              <w:t>本应用严格按照《中华人民共和国网络安全法》、《中华人民共和国数据安全法》、《中华人民共和国个人信息保护法》、《中华人民共和国反洗钱法》、《中华人民共和国消费者权益保护法》、《中华人民共和国消费者权益保护法实施条例》（中华人民共和国国务院令第778号公布）、《中国人民银行金融消费者权益保护实施办法》（中国人民银行令〔2020〕第 5 号发布）、《金融机构客户身份识别和客户身份资料及交易记录保存管理办法》（中国人民银行 中国银行业监督管理委员会 中国证券监督管理委员会 中国保险监督管理委员会令〔2007〕第 2 号发布）、《流动资金贷款管理办法》（国家金融监督管理总局令2024年第2号公布）、《个人贷款管理办法》（国家金融监督管理总局令2024年第3号公布）、《</w:t>
            </w:r>
            <w:r>
              <w:rPr>
                <w:rFonts w:ascii="仿宋_GB2312" w:hAnsi="仿宋_GB2312" w:eastAsia="仿宋_GB2312" w:cs="仿宋_GB2312"/>
                <w:szCs w:val="21"/>
              </w:rPr>
              <w:t>征信业务管理办法</w:t>
            </w:r>
            <w:r>
              <w:rPr>
                <w:rFonts w:hint="eastAsia" w:ascii="仿宋_GB2312" w:hAnsi="仿宋_GB2312" w:eastAsia="仿宋_GB2312" w:cs="仿宋_GB2312"/>
                <w:szCs w:val="21"/>
              </w:rPr>
              <w:t>》（中国人民银行令〔202</w:t>
            </w:r>
            <w:r>
              <w:rPr>
                <w:rFonts w:ascii="仿宋_GB2312" w:hAnsi="仿宋_GB2312" w:eastAsia="仿宋_GB2312" w:cs="仿宋_GB2312"/>
                <w:szCs w:val="21"/>
              </w:rPr>
              <w:t>1</w:t>
            </w:r>
            <w:r>
              <w:rPr>
                <w:rFonts w:hint="eastAsia" w:ascii="仿宋_GB2312" w:hAnsi="仿宋_GB2312" w:eastAsia="仿宋_GB2312" w:cs="仿宋_GB2312"/>
                <w:szCs w:val="21"/>
              </w:rPr>
              <w:t xml:space="preserve">〕第 </w:t>
            </w:r>
            <w:r>
              <w:rPr>
                <w:rFonts w:ascii="仿宋_GB2312" w:hAnsi="仿宋_GB2312" w:eastAsia="仿宋_GB2312" w:cs="仿宋_GB2312"/>
                <w:szCs w:val="21"/>
              </w:rPr>
              <w:t>4</w:t>
            </w:r>
            <w:r>
              <w:rPr>
                <w:rFonts w:hint="eastAsia" w:ascii="仿宋_GB2312" w:hAnsi="仿宋_GB2312" w:eastAsia="仿宋_GB2312" w:cs="仿宋_GB2312"/>
                <w:szCs w:val="21"/>
              </w:rPr>
              <w:t xml:space="preserve"> 号发布）等相关国家法律法规及金融行业政策文件要求进行设计，在数据收集和使用过程中采取必要的措施保护个人金融信息和用户敏感信息安全，所提供的金融服务符合相关法律法规要求，可以依法合规开展业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评估材料</w:t>
            </w:r>
          </w:p>
        </w:tc>
        <w:tc>
          <w:tcPr>
            <w:tcW w:w="5553" w:type="dxa"/>
            <w:gridSpan w:val="4"/>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《合法合规性评估报告-基于大数据技术的小微融资服务》（见附件1-2）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技术安全性评估</w:t>
            </w: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评估机构</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中国民生银行股份有限公司济南分行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评估时间</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2025年4月21日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有效期限</w:t>
            </w:r>
          </w:p>
        </w:tc>
        <w:tc>
          <w:tcPr>
            <w:tcW w:w="5553" w:type="dxa"/>
            <w:gridSpan w:val="4"/>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评估结论</w:t>
            </w:r>
          </w:p>
        </w:tc>
        <w:tc>
          <w:tcPr>
            <w:tcW w:w="5553" w:type="dxa"/>
            <w:gridSpan w:val="4"/>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本应用严格按照《商业银行应用程序接口安全管理规范》（JR/T0185—2020）、《个人金融信息保护技术规范》(JR/T0171—2020)、《金融科技创新安全通用规范》（JR/T 0199—2020）、《金融业数据能力建设指引》（JR/T 0218—2021）、《金融领域科技伦理指引》（JR/T 0258—2022）、《移动金融客户端应用软件安全管理规范》（JR/T 0092—2019）、《金融大数据 术语》（JR/T 0236—2021）、《金融大数据平台总体技术要求》（JR/T 0237—2021）等相关金融行业技术标准规范要求进行设计开发并进行全面安全评估。经评估，本应用符合现有相关金融行业标准要求。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评估材料</w:t>
            </w:r>
          </w:p>
        </w:tc>
        <w:tc>
          <w:tcPr>
            <w:tcW w:w="5553" w:type="dxa"/>
            <w:gridSpan w:val="4"/>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《技术安全性评估报告-基于大数据技术的小微融资服务》（见附件1-3）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风险防控</w:t>
            </w:r>
          </w:p>
        </w:tc>
        <w:tc>
          <w:tcPr>
            <w:tcW w:w="210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风控措施</w:t>
            </w:r>
          </w:p>
        </w:tc>
        <w:tc>
          <w:tcPr>
            <w:tcW w:w="347" w:type="dxa"/>
            <w:vMerge w:val="restart"/>
            <w:vAlign w:val="center"/>
          </w:tcPr>
          <w:p>
            <w:pPr>
              <w:spacing w:after="0" w:line="3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93" w:type="dxa"/>
            <w:vAlign w:val="center"/>
          </w:tcPr>
          <w:p>
            <w:pPr>
              <w:spacing w:after="0" w:line="3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风险点</w:t>
            </w:r>
          </w:p>
        </w:tc>
        <w:tc>
          <w:tcPr>
            <w:tcW w:w="4813" w:type="dxa"/>
            <w:gridSpan w:val="2"/>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在数据采集、存储、传输、使用等过程，由于技术缺陷或业务管理漏洞可能会造成数据泄露风险</w:t>
            </w:r>
            <w:r>
              <w:rPr>
                <w:rFonts w:hint="eastAsia" w:ascii="仿宋_GB2312" w:eastAsia="仿宋_GB2312"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347" w:type="dxa"/>
            <w:vMerge w:val="continue"/>
            <w:vAlign w:val="center"/>
          </w:tcPr>
          <w:p>
            <w:pPr>
              <w:spacing w:after="0" w:line="300" w:lineRule="exact"/>
              <w:jc w:val="center"/>
              <w:rPr>
                <w:rFonts w:ascii="仿宋_GB2312" w:hAnsi="仿宋_GB2312" w:eastAsia="仿宋_GB2312" w:cs="仿宋_GB2312"/>
                <w:sz w:val="18"/>
                <w:szCs w:val="18"/>
              </w:rPr>
            </w:pPr>
          </w:p>
        </w:tc>
        <w:tc>
          <w:tcPr>
            <w:tcW w:w="393" w:type="dxa"/>
            <w:vAlign w:val="center"/>
          </w:tcPr>
          <w:p>
            <w:pPr>
              <w:spacing w:after="0" w:line="3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防范措施</w:t>
            </w:r>
          </w:p>
        </w:tc>
        <w:tc>
          <w:tcPr>
            <w:tcW w:w="4813" w:type="dxa"/>
            <w:gridSpan w:val="2"/>
            <w:vAlign w:val="center"/>
          </w:tcPr>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遵循“用户授权、最小够用、全程防护”原则，充分评估潜在风险，加强数据全生命周期安全管理，严防用户数据的泄露、篡改和滥用风险。数据采集时，通过隐私政策文件、个人信息授权书等方式明示用户数据采集和使用目的、方式以及范围，获取用户明确授权后方可采集。数据存储时，通过数据泛化等技术将原始信息进行脱敏，并与关联性较高的敏感信息进行安全隔离、分散存储，严控访问权限，降低数据泄露风险。数据传输时，采用加密通道进行数据传输。数据使用时，借助加密技术，在不归集、不共享原始数据前提下，仅向外提供脱敏后的计算结果</w:t>
            </w:r>
            <w:r>
              <w:rPr>
                <w:rFonts w:hint="eastAsia" w:ascii="仿宋_GB2312" w:eastAsia="仿宋_GB2312" w:hAnsi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347" w:type="dxa"/>
            <w:vMerge w:val="restart"/>
            <w:vAlign w:val="center"/>
          </w:tcPr>
          <w:p>
            <w:pPr>
              <w:spacing w:after="0" w:line="3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93" w:type="dxa"/>
            <w:vAlign w:val="center"/>
          </w:tcPr>
          <w:p>
            <w:pPr>
              <w:spacing w:after="0" w:line="3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风险点</w:t>
            </w:r>
          </w:p>
        </w:tc>
        <w:tc>
          <w:tcPr>
            <w:tcW w:w="4813" w:type="dxa"/>
            <w:gridSpan w:val="2"/>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外部数据可能存在不准确或更新不及时情况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347" w:type="dxa"/>
            <w:vMerge w:val="continue"/>
            <w:vAlign w:val="center"/>
          </w:tcPr>
          <w:p>
            <w:pPr>
              <w:spacing w:after="0" w:line="300" w:lineRule="exact"/>
              <w:jc w:val="center"/>
              <w:rPr>
                <w:rFonts w:ascii="仿宋_GB2312" w:hAnsi="仿宋_GB2312" w:eastAsia="仿宋_GB2312" w:cs="仿宋_GB2312"/>
                <w:sz w:val="18"/>
                <w:szCs w:val="18"/>
              </w:rPr>
            </w:pPr>
          </w:p>
        </w:tc>
        <w:tc>
          <w:tcPr>
            <w:tcW w:w="393" w:type="dxa"/>
            <w:vAlign w:val="center"/>
          </w:tcPr>
          <w:p>
            <w:pPr>
              <w:spacing w:after="0" w:line="3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防范措施</w:t>
            </w:r>
          </w:p>
        </w:tc>
        <w:tc>
          <w:tcPr>
            <w:tcW w:w="4813" w:type="dxa"/>
            <w:gridSpan w:val="2"/>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上线初期，通过多方数据源交叉验证的方式，核查数据是否准确，对于不准确的情况及时联系三方进行核查并进行系统优化。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347" w:type="dxa"/>
            <w:vMerge w:val="restart"/>
            <w:vAlign w:val="center"/>
          </w:tcPr>
          <w:p>
            <w:pPr>
              <w:spacing w:after="0" w:line="3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93" w:type="dxa"/>
            <w:vAlign w:val="center"/>
          </w:tcPr>
          <w:p>
            <w:pPr>
              <w:spacing w:after="0" w:line="3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风险点</w:t>
            </w:r>
          </w:p>
        </w:tc>
        <w:tc>
          <w:tcPr>
            <w:tcW w:w="4813" w:type="dxa"/>
            <w:gridSpan w:val="2"/>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创新应用上线运行后，可能面临网络攻击、业务连续性中断等方面风险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347" w:type="dxa"/>
            <w:vMerge w:val="continue"/>
            <w:vAlign w:val="center"/>
          </w:tcPr>
          <w:p>
            <w:pPr>
              <w:spacing w:after="0" w:line="300" w:lineRule="exact"/>
              <w:jc w:val="center"/>
              <w:rPr>
                <w:rFonts w:ascii="仿宋_GB2312" w:hAnsi="仿宋_GB2312" w:eastAsia="仿宋_GB2312" w:cs="仿宋_GB2312"/>
                <w:sz w:val="18"/>
                <w:szCs w:val="18"/>
              </w:rPr>
            </w:pPr>
          </w:p>
        </w:tc>
        <w:tc>
          <w:tcPr>
            <w:tcW w:w="393" w:type="dxa"/>
            <w:vAlign w:val="center"/>
          </w:tcPr>
          <w:p>
            <w:pPr>
              <w:spacing w:after="0" w:line="3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防范措施</w:t>
            </w:r>
          </w:p>
        </w:tc>
        <w:tc>
          <w:tcPr>
            <w:tcW w:w="4813" w:type="dxa"/>
            <w:gridSpan w:val="2"/>
            <w:vAlign w:val="center"/>
          </w:tcPr>
          <w:p>
            <w:pPr>
              <w:spacing w:after="0" w:line="360" w:lineRule="exact"/>
              <w:rPr>
                <w:rFonts w:ascii="仿宋_GB2312" w:hAnsi="仿宋_GB2312" w:eastAsia="仿宋_GB2312" w:cs="仿宋_GB2312"/>
                <w:szCs w:val="21"/>
              </w:rPr>
            </w:pPr>
            <w:bookmarkStart w:id="2" w:name="OLE_LINK6"/>
            <w:bookmarkStart w:id="3" w:name="OLE_LINK5"/>
            <w:r>
              <w:rPr>
                <w:rFonts w:hint="eastAsia" w:ascii="仿宋_GB2312" w:hAnsi="仿宋_GB2312" w:eastAsia="仿宋_GB2312" w:cs="仿宋_GB2312"/>
                <w:szCs w:val="21"/>
              </w:rPr>
              <w:t>在应用实施过程中，将按照《金融科技创新风险监控规范》（JR/T 0200—2020）建立健全风险防控机制，项目立项过程中，开展安全需求与方案评审，确保设计方案满足安全需求。投产前，开展源码安全检测、开源安全检测、漏洞扫描、渗透测试，投产后，</w:t>
            </w:r>
            <w:bookmarkEnd w:id="2"/>
            <w:bookmarkEnd w:id="3"/>
            <w:r>
              <w:rPr>
                <w:rFonts w:ascii="仿宋_GB2312" w:hAnsi="仿宋_GB2312" w:eastAsia="仿宋_GB2312" w:cs="仿宋_GB2312"/>
                <w:szCs w:val="21"/>
              </w:rPr>
              <w:t>常态化开展源码安全监测和开源安全监测，每季度进行一次全面的安全检查，</w:t>
            </w:r>
            <w:r>
              <w:rPr>
                <w:rFonts w:hint="eastAsia" w:ascii="仿宋_GB2312" w:hAnsi="仿宋_GB2312" w:eastAsia="仿宋_GB2312" w:cs="仿宋_GB2312"/>
                <w:szCs w:val="21"/>
              </w:rPr>
              <w:t>确保信息系统合规性和安全性。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风险补偿机制</w:t>
            </w:r>
          </w:p>
        </w:tc>
        <w:tc>
          <w:tcPr>
            <w:tcW w:w="5553" w:type="dxa"/>
            <w:gridSpan w:val="4"/>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本应用建立风险补偿机制（附件1-4），建立健全风险补偿</w:t>
            </w:r>
          </w:p>
          <w:p>
            <w:pPr>
              <w:spacing w:after="0" w:line="360" w:lineRule="exact"/>
            </w:pPr>
            <w:r>
              <w:rPr>
                <w:rFonts w:hint="eastAsia" w:ascii="仿宋_GB2312" w:hAnsi="仿宋_GB2312" w:eastAsia="仿宋_GB2312" w:cs="仿宋_GB2312"/>
                <w:szCs w:val="21"/>
              </w:rPr>
              <w:t>机制，明确风险责任认定方式，制定风险赔付机制，配套风险拨备资金、保险计划等补偿措施，切实保证金融消费者合法权益。在金融消费者因使用金融服务而出现资金损失时，由民生银行济南分行按照风险补偿机制进行赔付。对于非客户自身责任导致的资金损失，提供全额补偿，充分保证消费者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退出机制</w:t>
            </w:r>
          </w:p>
        </w:tc>
        <w:tc>
          <w:tcPr>
            <w:tcW w:w="5553" w:type="dxa"/>
            <w:gridSpan w:val="4"/>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本应用按照退出机制（附件1-5），在保障用户资金和信息</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安全的前提下进行平稳退出。在业务方面，按照退出方案终止有关服务，及时告知客户并与客户解除协议。如遇法律纠纷，按照服务协议约定进行仲裁、诉讼。涉及资金的，按照服务协议约定退还客户，对客户造成资金损失的通过风险补偿机制进行赔偿。在技术方面，对系统进行下线。涉及数据的，按照国家及金融行业相关规范要求做好数据清理、隐私保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应急预案</w:t>
            </w:r>
          </w:p>
        </w:tc>
        <w:tc>
          <w:tcPr>
            <w:tcW w:w="5553" w:type="dxa"/>
            <w:gridSpan w:val="4"/>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本应用按照应急处置预案（附件1-6），妥善处理突发安全事件，切实保障业务稳定运行和用户合法权益。在系统上线前各方进行全链路压测、容灾演练，对相关操作人员进行应急处置培训；在系统上线后定期开展突发事件处置演练，确保应急预案的全面性、合理性和可操作性。建立日常生产运行监控机制，7×24 小时实时监控系统运行状况，第一时间对核心链路、接口、功能模块、硬件资源等的异常情况进行告警。一旦发生突发事件，根据其影响范围和危害程度，及时采取有针对性措施进行分级分类处理，视需要及时关闭增量业务，妥善处置受影响的存量业务，切实保障用户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118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投诉响应机制</w:t>
            </w:r>
          </w:p>
        </w:tc>
        <w:tc>
          <w:tcPr>
            <w:tcW w:w="210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机构投诉</w:t>
            </w:r>
          </w:p>
        </w:tc>
        <w:tc>
          <w:tcPr>
            <w:tcW w:w="2129" w:type="dxa"/>
            <w:gridSpan w:val="3"/>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投诉渠道</w:t>
            </w:r>
          </w:p>
        </w:tc>
        <w:tc>
          <w:tcPr>
            <w:tcW w:w="3424" w:type="dxa"/>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1.营业网点</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向民生银行任一营业网点支行管理人员、网点负责人反映问题或通过客户意见簿留言。</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2.客服电话</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致电客户服务热线（95568），选择人工服务联系客服代表。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2129" w:type="dxa"/>
            <w:gridSpan w:val="3"/>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投诉受理</w:t>
            </w:r>
          </w:p>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与处理机制</w:t>
            </w:r>
          </w:p>
        </w:tc>
        <w:tc>
          <w:tcPr>
            <w:tcW w:w="3424" w:type="dxa"/>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统筹管理部门：消费者权益保护部</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受理渠道部门：零售金融部、运营管理部</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受理时间：8：30-18:00</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处理流程：包括投诉的受理、分发、相应、调查、回复、结案、监测、核查等环节，采用首问负责、共同协作原则，确保投诉问题妥善解决。</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处理时限：5个工作日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自律投诉</w:t>
            </w:r>
          </w:p>
        </w:tc>
        <w:tc>
          <w:tcPr>
            <w:tcW w:w="2129" w:type="dxa"/>
            <w:gridSpan w:val="3"/>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投诉渠道</w:t>
            </w:r>
          </w:p>
        </w:tc>
        <w:tc>
          <w:tcPr>
            <w:tcW w:w="3424" w:type="dxa"/>
            <w:vAlign w:val="center"/>
          </w:tcPr>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受理单位：中国支付清算协会</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投诉网站：http://cfp.pcac.org.cn/</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投诉电话：010-66001918</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投诉邮箱：fintechts@pcac.org.cn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2100" w:type="dxa"/>
            <w:vMerge w:val="continue"/>
            <w:vAlign w:val="center"/>
          </w:tcPr>
          <w:p>
            <w:pPr>
              <w:spacing w:after="0" w:line="360" w:lineRule="exact"/>
              <w:jc w:val="center"/>
              <w:rPr>
                <w:rFonts w:ascii="仿宋_GB2312" w:hAnsi="仿宋_GB2312" w:eastAsia="仿宋_GB2312" w:cs="仿宋_GB2312"/>
                <w:szCs w:val="21"/>
              </w:rPr>
            </w:pPr>
          </w:p>
        </w:tc>
        <w:tc>
          <w:tcPr>
            <w:tcW w:w="2129" w:type="dxa"/>
            <w:gridSpan w:val="3"/>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投诉受理</w:t>
            </w:r>
          </w:p>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与处理机制</w:t>
            </w:r>
          </w:p>
        </w:tc>
        <w:tc>
          <w:tcPr>
            <w:tcW w:w="3424" w:type="dxa"/>
            <w:vAlign w:val="center"/>
          </w:tcPr>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中国支付清算协会是经国务院同意、民政部批准成立的全国性非营利社会团体法人。为保护金融消费者合法权益，营造遵守国家宪法、法律、法规和社会道德风尚的良好金融科技创新监管环境，推动金融科技行业健康可持续发展，按金融管理部门工作要求，协会以调解的形式，独立公正地受理、调查以及处理金融科技创新监管工具实施过程中出现的投诉举报等相关事宜。</w:t>
            </w:r>
          </w:p>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对于涉及相关地区的金融科技创新应用的投诉举报事项，中国支付清算协会将依照规定的程序进行调解，由协会举报中心对投诉情况进行沟通、记录后，相关业务部门负责进行调查处理。</w:t>
            </w:r>
          </w:p>
          <w:p>
            <w:pPr>
              <w:spacing w:after="0"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 xml:space="preserve">对外办公时间：周一至周五 </w:t>
            </w: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上午8:30-11:30，下午13:30-17:00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0" w:type="dxa"/>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c>
          <w:tcPr>
            <w:tcW w:w="7653" w:type="dxa"/>
            <w:gridSpan w:val="5"/>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180" w:type="dxa"/>
            <w:vMerge w:val="restart"/>
            <w:vAlign w:val="center"/>
          </w:tcPr>
          <w:p>
            <w:pPr>
              <w:spacing w:after="0"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承诺声明</w:t>
            </w:r>
          </w:p>
        </w:tc>
        <w:tc>
          <w:tcPr>
            <w:tcW w:w="7653" w:type="dxa"/>
            <w:gridSpan w:val="5"/>
            <w:vAlign w:val="center"/>
          </w:tcPr>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机构承诺所提交的材料真实有效，遵守国家相关法律法规规定和社会公序良俗，严格落实金融管理部门相关监管要求，认真执行行业相关规则规范，强化全流程风控管理体系建设，有效识别、评估、监测和控制风险，并做出以下声明：</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1.守正创新。忠实履行金融天职和使命，着力解决实体经济痛点难点，确保科技创新不偏离正确的发展方向，严防技术滥用，切实通过技术创新满足人民群众对美好生活的期待与向往。</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2.以人为本。始终坚持以人民为中心的发展思想，坚持金融科技创新行为从人民群众实际需求出发，以增进社会共同福祉为目标，尊重并维护人民群众尊严和利益，致力促进社会和谐与文明进步。</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3.诚实守信。恪守社会主义核心价值观，将求真务实作为金融科技从业人员的基本素养，将履约践诺作为从事金融科技活动的基本要求，强化诚信道德自律，积极倡导诚实守信的良好社会风尚。</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4.公开透明。使用简明清晰、通俗易懂的方式，及时、真实、准确、完整地主动对外披露金融科技创新的功能实质和潜在风险，不隐瞒不利信息、不“劝诱”销售产品，让社会公众看得到、读得懂、能监督。</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权益保护。充分尊重和保障人民群众隐私权、自主选择权、依法求偿权等合法权益，严格履行适当性义务，严防过度采集、违规使用、非法交易和泄露用户隐私数据行为，采取风险拨备资金、保险计划等补偿机制，切实保护用户资金和信息安全。</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安全合规。把遵守法律法规和维护金融稳定作为开展金融科技创新活动的前提条件，已通过业务合规性和技术安全性评估审计等措施保障新技术应用风险可控，避免新技术应用带来的数据泄露、算法黑箱、信息茧房等问题，切实防范技术和数据滥用可能导致的人民群众信息与资金失窃风险。</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公平普惠。应用新一代信息技术优化金融服务供给结构，持续增强金融服务的普适性、可得性和满意度。重点关注特殊人群、弱势群体需求，努力消除因使用成本、文化程度、地域限制等造成的“数字鸿沟”，不断提升人民群众的获得感、幸福感、安全感。</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社会责任。贯彻落实国家战略部署，围绕新时代经济社会发展的战略目标、战略重点，始终把社会效益放在首位，坚持社会效益和经济效益相统一，开展“负责任的创新”，打造“值得信赖的技术”，切实服务经济社会健康可持续发展。</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本声明书正文与附件表述不一致的，以正文为准。</w:t>
            </w:r>
          </w:p>
          <w:p>
            <w:pPr>
              <w:spacing w:after="0"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以上承诺如有违反，愿承担相应责任与后果。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180" w:type="dxa"/>
            <w:vMerge w:val="continue"/>
            <w:vAlign w:val="center"/>
          </w:tcPr>
          <w:p>
            <w:pPr>
              <w:spacing w:after="0" w:line="360" w:lineRule="exact"/>
              <w:jc w:val="center"/>
              <w:rPr>
                <w:rFonts w:ascii="仿宋_GB2312" w:hAnsi="仿宋_GB2312" w:eastAsia="仿宋_GB2312" w:cs="仿宋_GB2312"/>
                <w:szCs w:val="21"/>
              </w:rPr>
            </w:pPr>
          </w:p>
        </w:tc>
        <w:tc>
          <w:tcPr>
            <w:tcW w:w="7653" w:type="dxa"/>
            <w:gridSpan w:val="5"/>
            <w:vAlign w:val="center"/>
          </w:tcPr>
          <w:p>
            <w:pPr>
              <w:spacing w:after="0" w:line="360" w:lineRule="exact"/>
              <w:ind w:firstLine="420" w:firstLineChars="200"/>
              <w:rPr>
                <w:rFonts w:ascii="仿宋_GB2312" w:hAnsi="仿宋_GB2312" w:eastAsia="仿宋_GB2312" w:cs="仿宋_GB2312"/>
                <w:szCs w:val="21"/>
              </w:rPr>
            </w:pPr>
          </w:p>
          <w:p>
            <w:pPr>
              <w:spacing w:after="0" w:line="360" w:lineRule="exact"/>
              <w:ind w:firstLine="420" w:firstLineChars="200"/>
              <w:rPr>
                <w:rFonts w:ascii="仿宋_GB2312" w:hAnsi="仿宋_GB2312" w:eastAsia="仿宋_GB2312" w:cs="仿宋_GB2312"/>
                <w:szCs w:val="21"/>
              </w:rPr>
            </w:pPr>
          </w:p>
          <w:p>
            <w:pPr>
              <w:spacing w:after="0" w:line="360" w:lineRule="exact"/>
              <w:rPr>
                <w:rFonts w:ascii="仿宋_GB2312" w:hAnsi="仿宋_GB2312" w:eastAsia="仿宋_GB2312" w:cs="仿宋_GB2312"/>
                <w:szCs w:val="21"/>
              </w:rPr>
            </w:pPr>
            <w:r>
              <w:rPr>
                <w:rFonts w:hint="eastAsia" w:ascii="仿宋_GB2312" w:hAnsi="仿宋_GB2312" w:eastAsia="仿宋_GB2312" w:cs="仿宋_GB2312"/>
                <w:szCs w:val="21"/>
              </w:rPr>
              <w:t>法定代表人或其授权人（签字）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w:t>
            </w:r>
            <w:r>
              <w:rPr>
                <w:rFonts w:hint="eastAsia" w:ascii="仿宋_GB2312" w:hAnsi="仿宋_GB2312" w:eastAsia="仿宋_GB2312" w:cs="仿宋_GB2312"/>
                <w:szCs w:val="21"/>
                <w:lang w:val="en-US" w:eastAsia="zh-CN"/>
              </w:rPr>
              <w:t>2025</w:t>
            </w:r>
            <w:r>
              <w:rPr>
                <w:rFonts w:hint="eastAsia" w:ascii="仿宋_GB2312" w:hAnsi="仿宋_GB2312" w:eastAsia="仿宋_GB2312" w:cs="仿宋_GB2312"/>
                <w:szCs w:val="21"/>
              </w:rPr>
              <w:t>年 </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月 </w:t>
            </w:r>
            <w:r>
              <w:rPr>
                <w:rFonts w:hint="eastAsia" w:ascii="仿宋_GB2312" w:hAnsi="仿宋_GB2312" w:eastAsia="仿宋_GB2312" w:cs="仿宋_GB2312"/>
                <w:szCs w:val="21"/>
                <w:lang w:val="en-US" w:eastAsia="zh-CN"/>
              </w:rPr>
              <w:t>17</w:t>
            </w:r>
            <w:r>
              <w:rPr>
                <w:rFonts w:hint="eastAsia" w:ascii="仿宋_GB2312" w:hAnsi="仿宋_GB2312" w:eastAsia="仿宋_GB2312" w:cs="仿宋_GB2312"/>
                <w:szCs w:val="21"/>
              </w:rPr>
              <w:t>日（盖章）</w:t>
            </w:r>
          </w:p>
        </w:tc>
      </w:tr>
    </w:tbl>
    <w:p>
      <w:pPr>
        <w:rPr>
          <w:rFonts w:ascii="宋体" w:hAnsi="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rPr>
        <w:br w:type="page"/>
      </w:r>
      <w:bookmarkStart w:id="5" w:name="_GoBack"/>
      <w:bookmarkEnd w:id="5"/>
      <w:bookmarkStart w:id="4" w:name="_Hlk56093427"/>
    </w:p>
    <w:bookmarkEnd w:id="4"/>
    <w:p>
      <w:pPr>
        <w:pStyle w:val="2"/>
        <w:rPr>
          <w:rFonts w:ascii="仿宋_GB2312" w:hAnsi="仿宋_GB2312" w:eastAsia="仿宋_GB2312" w:cs="仿宋_GB2312"/>
          <w:sz w:val="30"/>
          <w:szCs w:val="30"/>
        </w:rPr>
      </w:pPr>
    </w:p>
    <w:p>
      <w:pPr>
        <w:pStyle w:val="2"/>
      </w:pPr>
    </w:p>
    <w:sectPr>
      <w:headerReference r:id="rId7" w:type="default"/>
      <w:footerReference r:id="rId8" w:type="default"/>
      <w:pgSz w:w="11906" w:h="16838"/>
      <w:pgMar w:top="1276" w:right="1531" w:bottom="1134" w:left="1531" w:header="851" w:footer="1361"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宋体" w:hAnsi="宋体" w:cs="Times New Roman"/>
        <w:sz w:val="28"/>
        <w:szCs w:val="28"/>
      </w:rPr>
    </w:pPr>
    <w:r>
      <w:rPr>
        <w:rFonts w:ascii="宋体" w:hAnsi="宋体" w:cs="Times New Roman"/>
        <w:sz w:val="28"/>
        <w:szCs w:val="28"/>
      </w:rPr>
      <w:fldChar w:fldCharType="begin"/>
    </w:r>
    <w:r>
      <w:rPr>
        <w:rFonts w:ascii="宋体" w:hAnsi="宋体" w:cs="Times New Roman"/>
        <w:sz w:val="28"/>
        <w:szCs w:val="28"/>
      </w:rPr>
      <w:instrText xml:space="preserve">PAGE   \* MERGEFORMAT</w:instrText>
    </w:r>
    <w:r>
      <w:rPr>
        <w:rFonts w:ascii="宋体" w:hAnsi="宋体" w:cs="Times New Roman"/>
        <w:sz w:val="28"/>
        <w:szCs w:val="28"/>
      </w:rPr>
      <w:fldChar w:fldCharType="separate"/>
    </w:r>
    <w:r>
      <w:rPr>
        <w:rFonts w:ascii="宋体" w:hAnsi="宋体" w:cs="Times New Roman"/>
        <w:sz w:val="28"/>
        <w:szCs w:val="28"/>
        <w:lang w:val="zh-CN"/>
      </w:rPr>
      <w:t>-</w:t>
    </w:r>
    <w:r>
      <w:rPr>
        <w:rFonts w:ascii="宋体" w:hAnsi="宋体" w:cs="Times New Roman"/>
        <w:sz w:val="28"/>
        <w:szCs w:val="28"/>
      </w:rPr>
      <w:t xml:space="preserve"> 74 -</w:t>
    </w:r>
    <w:r>
      <w:rPr>
        <w:rFonts w:ascii="宋体" w:hAnsi="宋体" w:cs="Times New Roman"/>
        <w:sz w:val="28"/>
        <w:szCs w:val="28"/>
      </w:rPr>
      <w:fldChar w:fldCharType="end"/>
    </w:r>
  </w:p>
  <w:p>
    <w:pPr>
      <w:widowControl w:val="0"/>
      <w:snapToGrid w:val="0"/>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rFonts w:ascii="仿宋_GB2312" w:hAnsi="仿宋_GB2312" w:eastAsia="仿宋_GB2312" w:cs="仿宋_GB2312"/>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0"/>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31DE3AD"/>
    <w:multiLevelType w:val="multilevel"/>
    <w:tmpl w:val="531DE3AD"/>
    <w:lvl w:ilvl="0" w:tentative="0">
      <w:start w:val="1"/>
      <w:numFmt w:val="decimal"/>
      <w:pStyle w:val="2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jMjJlNGZjYmU0MGFiOGNhOWFlZDlmYjQ5NTgwNjgifQ=="/>
  </w:docVars>
  <w:rsids>
    <w:rsidRoot w:val="68404DD3"/>
    <w:rsid w:val="000476C6"/>
    <w:rsid w:val="00075754"/>
    <w:rsid w:val="00077EF4"/>
    <w:rsid w:val="0009158C"/>
    <w:rsid w:val="001A4FBD"/>
    <w:rsid w:val="001E2E8E"/>
    <w:rsid w:val="002706DF"/>
    <w:rsid w:val="002B7D26"/>
    <w:rsid w:val="002E5DA5"/>
    <w:rsid w:val="003041B8"/>
    <w:rsid w:val="003234DD"/>
    <w:rsid w:val="003253E8"/>
    <w:rsid w:val="00337AE7"/>
    <w:rsid w:val="0035057B"/>
    <w:rsid w:val="003858CA"/>
    <w:rsid w:val="00414918"/>
    <w:rsid w:val="00460292"/>
    <w:rsid w:val="004831D7"/>
    <w:rsid w:val="004D19BB"/>
    <w:rsid w:val="00521DB7"/>
    <w:rsid w:val="0053718B"/>
    <w:rsid w:val="00540349"/>
    <w:rsid w:val="0054711E"/>
    <w:rsid w:val="00547160"/>
    <w:rsid w:val="0055377F"/>
    <w:rsid w:val="0055627E"/>
    <w:rsid w:val="00585BEC"/>
    <w:rsid w:val="00595B8B"/>
    <w:rsid w:val="005B7F0C"/>
    <w:rsid w:val="005E2B2D"/>
    <w:rsid w:val="00610224"/>
    <w:rsid w:val="006455E8"/>
    <w:rsid w:val="0065241D"/>
    <w:rsid w:val="00655050"/>
    <w:rsid w:val="00696199"/>
    <w:rsid w:val="006A02C8"/>
    <w:rsid w:val="006A25B9"/>
    <w:rsid w:val="006B0E7F"/>
    <w:rsid w:val="006E5AA5"/>
    <w:rsid w:val="00720320"/>
    <w:rsid w:val="00732914"/>
    <w:rsid w:val="00792C94"/>
    <w:rsid w:val="007E0D88"/>
    <w:rsid w:val="00800543"/>
    <w:rsid w:val="00807791"/>
    <w:rsid w:val="00837C80"/>
    <w:rsid w:val="008778A2"/>
    <w:rsid w:val="008A2738"/>
    <w:rsid w:val="008A4742"/>
    <w:rsid w:val="008D3808"/>
    <w:rsid w:val="008E546E"/>
    <w:rsid w:val="008F5592"/>
    <w:rsid w:val="0096183A"/>
    <w:rsid w:val="00985D2C"/>
    <w:rsid w:val="00A7040F"/>
    <w:rsid w:val="00A852AB"/>
    <w:rsid w:val="00AA2818"/>
    <w:rsid w:val="00AD4186"/>
    <w:rsid w:val="00B317CB"/>
    <w:rsid w:val="00B47440"/>
    <w:rsid w:val="00B92962"/>
    <w:rsid w:val="00BC3466"/>
    <w:rsid w:val="00BC3586"/>
    <w:rsid w:val="00BC4D8F"/>
    <w:rsid w:val="00BC5882"/>
    <w:rsid w:val="00C0610C"/>
    <w:rsid w:val="00C466AF"/>
    <w:rsid w:val="00C60766"/>
    <w:rsid w:val="00C700AB"/>
    <w:rsid w:val="00C73C6D"/>
    <w:rsid w:val="00CA479D"/>
    <w:rsid w:val="00CE19A5"/>
    <w:rsid w:val="00CF5DB1"/>
    <w:rsid w:val="00D10370"/>
    <w:rsid w:val="00D12630"/>
    <w:rsid w:val="00D37B99"/>
    <w:rsid w:val="00D80891"/>
    <w:rsid w:val="00D82DD8"/>
    <w:rsid w:val="00DB3594"/>
    <w:rsid w:val="00DE3290"/>
    <w:rsid w:val="00E031B7"/>
    <w:rsid w:val="00E07DC7"/>
    <w:rsid w:val="00E111CE"/>
    <w:rsid w:val="00E32303"/>
    <w:rsid w:val="00E41332"/>
    <w:rsid w:val="00E66714"/>
    <w:rsid w:val="00EC41EF"/>
    <w:rsid w:val="00F118E6"/>
    <w:rsid w:val="00F11C5C"/>
    <w:rsid w:val="00F501EF"/>
    <w:rsid w:val="00F81296"/>
    <w:rsid w:val="00FD1C66"/>
    <w:rsid w:val="00FE3246"/>
    <w:rsid w:val="00FF1A71"/>
    <w:rsid w:val="01317DBD"/>
    <w:rsid w:val="015B50B0"/>
    <w:rsid w:val="01D63C01"/>
    <w:rsid w:val="028A78B6"/>
    <w:rsid w:val="02FB01D2"/>
    <w:rsid w:val="03377BD5"/>
    <w:rsid w:val="035827BF"/>
    <w:rsid w:val="03CE09CD"/>
    <w:rsid w:val="03E80BA4"/>
    <w:rsid w:val="04BE31D4"/>
    <w:rsid w:val="04F871D2"/>
    <w:rsid w:val="051A7AE4"/>
    <w:rsid w:val="059B00A7"/>
    <w:rsid w:val="0781725F"/>
    <w:rsid w:val="07971E6C"/>
    <w:rsid w:val="07FF6C6C"/>
    <w:rsid w:val="08206641"/>
    <w:rsid w:val="08F55D20"/>
    <w:rsid w:val="099948FD"/>
    <w:rsid w:val="09F81A4D"/>
    <w:rsid w:val="0A1A7730"/>
    <w:rsid w:val="0B715DDD"/>
    <w:rsid w:val="0BCE3FEB"/>
    <w:rsid w:val="0C492A91"/>
    <w:rsid w:val="0C5F4DA7"/>
    <w:rsid w:val="0CA079BF"/>
    <w:rsid w:val="0D5718B8"/>
    <w:rsid w:val="0D60559F"/>
    <w:rsid w:val="0DA41AC3"/>
    <w:rsid w:val="0E7476E7"/>
    <w:rsid w:val="0EA34D34"/>
    <w:rsid w:val="0EC116C9"/>
    <w:rsid w:val="0FED1F5E"/>
    <w:rsid w:val="10197D3C"/>
    <w:rsid w:val="105857A8"/>
    <w:rsid w:val="10EA5A3E"/>
    <w:rsid w:val="11226299"/>
    <w:rsid w:val="112462EA"/>
    <w:rsid w:val="11643A43"/>
    <w:rsid w:val="12E27315"/>
    <w:rsid w:val="13BD47B8"/>
    <w:rsid w:val="13F84916"/>
    <w:rsid w:val="14520C23"/>
    <w:rsid w:val="150C68CB"/>
    <w:rsid w:val="15313FD7"/>
    <w:rsid w:val="15C960E4"/>
    <w:rsid w:val="15E056A4"/>
    <w:rsid w:val="160A6408"/>
    <w:rsid w:val="160F4961"/>
    <w:rsid w:val="1783099B"/>
    <w:rsid w:val="18BA7892"/>
    <w:rsid w:val="18D55A5E"/>
    <w:rsid w:val="18F54DF5"/>
    <w:rsid w:val="191578B3"/>
    <w:rsid w:val="19483990"/>
    <w:rsid w:val="19D54A32"/>
    <w:rsid w:val="1A1660DA"/>
    <w:rsid w:val="1A366A50"/>
    <w:rsid w:val="1B620B94"/>
    <w:rsid w:val="1C060E08"/>
    <w:rsid w:val="1C6074FD"/>
    <w:rsid w:val="1C6430ED"/>
    <w:rsid w:val="1CA55B68"/>
    <w:rsid w:val="1CBA4363"/>
    <w:rsid w:val="1D8F2F01"/>
    <w:rsid w:val="1D95454D"/>
    <w:rsid w:val="1DEC1417"/>
    <w:rsid w:val="1DFD54FC"/>
    <w:rsid w:val="1E0740D4"/>
    <w:rsid w:val="1E4A4CF2"/>
    <w:rsid w:val="1E525275"/>
    <w:rsid w:val="1E861D76"/>
    <w:rsid w:val="1F1625B7"/>
    <w:rsid w:val="1F325ABD"/>
    <w:rsid w:val="1F607885"/>
    <w:rsid w:val="1F9221AE"/>
    <w:rsid w:val="1FC96B94"/>
    <w:rsid w:val="21AC6C85"/>
    <w:rsid w:val="2212503C"/>
    <w:rsid w:val="228A52D3"/>
    <w:rsid w:val="22CA56D0"/>
    <w:rsid w:val="22D24CAE"/>
    <w:rsid w:val="23562010"/>
    <w:rsid w:val="23F9602C"/>
    <w:rsid w:val="24046325"/>
    <w:rsid w:val="24A335B5"/>
    <w:rsid w:val="251D1C5B"/>
    <w:rsid w:val="254D6A02"/>
    <w:rsid w:val="254E6757"/>
    <w:rsid w:val="265448F0"/>
    <w:rsid w:val="271B7F96"/>
    <w:rsid w:val="28597975"/>
    <w:rsid w:val="28BC7F13"/>
    <w:rsid w:val="28EE7066"/>
    <w:rsid w:val="29283BE5"/>
    <w:rsid w:val="29441996"/>
    <w:rsid w:val="296576F6"/>
    <w:rsid w:val="29FE1111"/>
    <w:rsid w:val="2B5B2A8C"/>
    <w:rsid w:val="2BC21925"/>
    <w:rsid w:val="2C1A406D"/>
    <w:rsid w:val="2C293467"/>
    <w:rsid w:val="2CB12853"/>
    <w:rsid w:val="2D216218"/>
    <w:rsid w:val="2DAC3BFD"/>
    <w:rsid w:val="2DF1624D"/>
    <w:rsid w:val="2E102D33"/>
    <w:rsid w:val="2E386FBF"/>
    <w:rsid w:val="2E8D4DB5"/>
    <w:rsid w:val="2EC17EC2"/>
    <w:rsid w:val="2F5C3B54"/>
    <w:rsid w:val="2FEC25F0"/>
    <w:rsid w:val="300B7231"/>
    <w:rsid w:val="30355826"/>
    <w:rsid w:val="303E69F2"/>
    <w:rsid w:val="30635070"/>
    <w:rsid w:val="308C2042"/>
    <w:rsid w:val="31132895"/>
    <w:rsid w:val="311B1E04"/>
    <w:rsid w:val="31685D5A"/>
    <w:rsid w:val="317A4765"/>
    <w:rsid w:val="34546A3D"/>
    <w:rsid w:val="346468BD"/>
    <w:rsid w:val="3572037B"/>
    <w:rsid w:val="35A83427"/>
    <w:rsid w:val="36CC15BF"/>
    <w:rsid w:val="37873DEB"/>
    <w:rsid w:val="37E97D4C"/>
    <w:rsid w:val="38312B72"/>
    <w:rsid w:val="38404760"/>
    <w:rsid w:val="38AB163B"/>
    <w:rsid w:val="39127BBD"/>
    <w:rsid w:val="3A290B99"/>
    <w:rsid w:val="3A6316DD"/>
    <w:rsid w:val="3AA73D59"/>
    <w:rsid w:val="3B0C262F"/>
    <w:rsid w:val="3B263535"/>
    <w:rsid w:val="3B4F18CD"/>
    <w:rsid w:val="3B8E784F"/>
    <w:rsid w:val="3BAC3D07"/>
    <w:rsid w:val="3BE1171B"/>
    <w:rsid w:val="3C483BFA"/>
    <w:rsid w:val="3C716E3D"/>
    <w:rsid w:val="3CBFC730"/>
    <w:rsid w:val="3DB649CE"/>
    <w:rsid w:val="3DCC459A"/>
    <w:rsid w:val="3E42587E"/>
    <w:rsid w:val="403305C8"/>
    <w:rsid w:val="40653C13"/>
    <w:rsid w:val="408B606D"/>
    <w:rsid w:val="409B6C86"/>
    <w:rsid w:val="40BF2194"/>
    <w:rsid w:val="417B430D"/>
    <w:rsid w:val="41A40D87"/>
    <w:rsid w:val="42764AD5"/>
    <w:rsid w:val="42B81C94"/>
    <w:rsid w:val="42E56F02"/>
    <w:rsid w:val="441118DF"/>
    <w:rsid w:val="447D5EF1"/>
    <w:rsid w:val="44CD0724"/>
    <w:rsid w:val="452E738D"/>
    <w:rsid w:val="46F74A40"/>
    <w:rsid w:val="474C7A42"/>
    <w:rsid w:val="4794337F"/>
    <w:rsid w:val="481C1C7A"/>
    <w:rsid w:val="482A6C75"/>
    <w:rsid w:val="482D3841"/>
    <w:rsid w:val="491969FE"/>
    <w:rsid w:val="4935480A"/>
    <w:rsid w:val="4B1C68EE"/>
    <w:rsid w:val="4CD46791"/>
    <w:rsid w:val="4D10664C"/>
    <w:rsid w:val="4D8D78A2"/>
    <w:rsid w:val="4E297EBB"/>
    <w:rsid w:val="4EDE7C89"/>
    <w:rsid w:val="4FDD1AD8"/>
    <w:rsid w:val="500F6ADA"/>
    <w:rsid w:val="511856D5"/>
    <w:rsid w:val="516528E4"/>
    <w:rsid w:val="51E17191"/>
    <w:rsid w:val="51F06D47"/>
    <w:rsid w:val="5255059F"/>
    <w:rsid w:val="529D3D17"/>
    <w:rsid w:val="52BE04FE"/>
    <w:rsid w:val="53E42680"/>
    <w:rsid w:val="5487263E"/>
    <w:rsid w:val="54CC782F"/>
    <w:rsid w:val="54FE1912"/>
    <w:rsid w:val="55516202"/>
    <w:rsid w:val="555B3803"/>
    <w:rsid w:val="55D22785"/>
    <w:rsid w:val="560D3FB2"/>
    <w:rsid w:val="569D4504"/>
    <w:rsid w:val="56CB2639"/>
    <w:rsid w:val="57FE1EDE"/>
    <w:rsid w:val="58BD3621"/>
    <w:rsid w:val="58F0394E"/>
    <w:rsid w:val="595A3379"/>
    <w:rsid w:val="597B0AC2"/>
    <w:rsid w:val="598450C8"/>
    <w:rsid w:val="59DC596E"/>
    <w:rsid w:val="59EF1AD9"/>
    <w:rsid w:val="5AFD3D21"/>
    <w:rsid w:val="5D04536F"/>
    <w:rsid w:val="5D3635FE"/>
    <w:rsid w:val="5E527906"/>
    <w:rsid w:val="5E815B60"/>
    <w:rsid w:val="5EFE39E7"/>
    <w:rsid w:val="5F0D2F1D"/>
    <w:rsid w:val="5F15791F"/>
    <w:rsid w:val="5F16502D"/>
    <w:rsid w:val="5F4D3766"/>
    <w:rsid w:val="5FF67529"/>
    <w:rsid w:val="60280B8B"/>
    <w:rsid w:val="619518AC"/>
    <w:rsid w:val="61A0340B"/>
    <w:rsid w:val="61AA1338"/>
    <w:rsid w:val="61D1568E"/>
    <w:rsid w:val="620C311B"/>
    <w:rsid w:val="62562DAE"/>
    <w:rsid w:val="62BD432E"/>
    <w:rsid w:val="62C965DA"/>
    <w:rsid w:val="62EF6188"/>
    <w:rsid w:val="62FB7B80"/>
    <w:rsid w:val="632366B5"/>
    <w:rsid w:val="636B5B38"/>
    <w:rsid w:val="63CE6F3D"/>
    <w:rsid w:val="63D964A6"/>
    <w:rsid w:val="63E50971"/>
    <w:rsid w:val="64682077"/>
    <w:rsid w:val="64803C13"/>
    <w:rsid w:val="64E573F1"/>
    <w:rsid w:val="651B70FF"/>
    <w:rsid w:val="655E5B85"/>
    <w:rsid w:val="658C769B"/>
    <w:rsid w:val="65B80DDC"/>
    <w:rsid w:val="66013CEC"/>
    <w:rsid w:val="667912BF"/>
    <w:rsid w:val="667F43BE"/>
    <w:rsid w:val="66893A27"/>
    <w:rsid w:val="66C97FEF"/>
    <w:rsid w:val="66CF2D77"/>
    <w:rsid w:val="66EF17B8"/>
    <w:rsid w:val="66F14673"/>
    <w:rsid w:val="66FC49D5"/>
    <w:rsid w:val="67D81B6B"/>
    <w:rsid w:val="68404DD3"/>
    <w:rsid w:val="68AB231B"/>
    <w:rsid w:val="68BA4E6C"/>
    <w:rsid w:val="694655C5"/>
    <w:rsid w:val="69CD2C8B"/>
    <w:rsid w:val="69E375C8"/>
    <w:rsid w:val="6A5A73A4"/>
    <w:rsid w:val="6AD94356"/>
    <w:rsid w:val="6AF2259B"/>
    <w:rsid w:val="6AFC38F9"/>
    <w:rsid w:val="6BDC6932"/>
    <w:rsid w:val="6C7E24CF"/>
    <w:rsid w:val="6CC30D7F"/>
    <w:rsid w:val="6CEA0C3F"/>
    <w:rsid w:val="6D021306"/>
    <w:rsid w:val="6DA37B3E"/>
    <w:rsid w:val="6E105C5A"/>
    <w:rsid w:val="6E372E5F"/>
    <w:rsid w:val="6EBA3D19"/>
    <w:rsid w:val="6F596F4E"/>
    <w:rsid w:val="704E375C"/>
    <w:rsid w:val="714874B8"/>
    <w:rsid w:val="715A3E82"/>
    <w:rsid w:val="716F5D14"/>
    <w:rsid w:val="71714726"/>
    <w:rsid w:val="71C045A5"/>
    <w:rsid w:val="72F431B5"/>
    <w:rsid w:val="73014881"/>
    <w:rsid w:val="735402C3"/>
    <w:rsid w:val="739D51F3"/>
    <w:rsid w:val="740B01E2"/>
    <w:rsid w:val="74152900"/>
    <w:rsid w:val="744E6549"/>
    <w:rsid w:val="75905670"/>
    <w:rsid w:val="75D4756D"/>
    <w:rsid w:val="76DF29BF"/>
    <w:rsid w:val="76FB1965"/>
    <w:rsid w:val="780002AF"/>
    <w:rsid w:val="7860333A"/>
    <w:rsid w:val="7907149F"/>
    <w:rsid w:val="79415E38"/>
    <w:rsid w:val="79837522"/>
    <w:rsid w:val="7A0A7A48"/>
    <w:rsid w:val="7A395363"/>
    <w:rsid w:val="7A4C04B1"/>
    <w:rsid w:val="7AA30EC0"/>
    <w:rsid w:val="7AFC42E0"/>
    <w:rsid w:val="7B332F87"/>
    <w:rsid w:val="7BB8628D"/>
    <w:rsid w:val="7C154D25"/>
    <w:rsid w:val="7C417667"/>
    <w:rsid w:val="7CF8032D"/>
    <w:rsid w:val="7D754880"/>
    <w:rsid w:val="7D966FC6"/>
    <w:rsid w:val="7DEC648E"/>
    <w:rsid w:val="7EF04D52"/>
    <w:rsid w:val="7F311294"/>
    <w:rsid w:val="7F4E72EA"/>
    <w:rsid w:val="7F7A5E6F"/>
    <w:rsid w:val="7F7D1B57"/>
    <w:rsid w:val="7FDC75FB"/>
    <w:rsid w:val="9FBB08A5"/>
    <w:rsid w:val="A3B6D307"/>
    <w:rsid w:val="BBFF5449"/>
    <w:rsid w:val="BEF9C3D8"/>
    <w:rsid w:val="DB7E8DB9"/>
    <w:rsid w:val="FFBE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黑体"/>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unhideWhenUsed/>
    <w:qFormat/>
    <w:uiPriority w:val="9"/>
    <w:pPr>
      <w:keepNext/>
      <w:keepLines/>
      <w:spacing w:before="260" w:after="260" w:line="413" w:lineRule="auto"/>
      <w:outlineLvl w:val="2"/>
    </w:pPr>
    <w:rPr>
      <w:b/>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link w:val="27"/>
    <w:qFormat/>
    <w:uiPriority w:val="0"/>
  </w:style>
  <w:style w:type="paragraph" w:styleId="7">
    <w:name w:val="Plain Text"/>
    <w:basedOn w:val="1"/>
    <w:qFormat/>
    <w:uiPriority w:val="0"/>
    <w:rPr>
      <w:rFonts w:eastAsia="仿宋_GB2312"/>
      <w:spacing w:val="20"/>
      <w:sz w:val="24"/>
    </w:rPr>
  </w:style>
  <w:style w:type="paragraph" w:styleId="8">
    <w:name w:val="Balloon Text"/>
    <w:basedOn w:val="1"/>
    <w:link w:val="25"/>
    <w:qFormat/>
    <w:uiPriority w:val="0"/>
    <w:pPr>
      <w:spacing w:after="0" w:line="240" w:lineRule="auto"/>
    </w:pPr>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0"/>
    <w:pPr>
      <w:spacing w:before="100" w:beforeAutospacing="1" w:after="100" w:afterAutospacing="1"/>
    </w:pPr>
    <w:rPr>
      <w:rFonts w:ascii="宋体" w:hAnsi="宋体" w:cs="宋体"/>
      <w:kern w:val="0"/>
      <w:sz w:val="24"/>
      <w:szCs w:val="24"/>
    </w:rPr>
  </w:style>
  <w:style w:type="paragraph" w:styleId="12">
    <w:name w:val="Title"/>
    <w:basedOn w:val="1"/>
    <w:next w:val="1"/>
    <w:qFormat/>
    <w:uiPriority w:val="0"/>
    <w:pPr>
      <w:spacing w:before="240" w:after="60"/>
      <w:jc w:val="center"/>
      <w:outlineLvl w:val="0"/>
    </w:pPr>
    <w:rPr>
      <w:rFonts w:ascii="Cambria" w:hAnsi="Cambria"/>
      <w:b/>
      <w:sz w:val="32"/>
    </w:rPr>
  </w:style>
  <w:style w:type="paragraph" w:styleId="13">
    <w:name w:val="annotation subject"/>
    <w:basedOn w:val="6"/>
    <w:next w:val="6"/>
    <w:link w:val="28"/>
    <w:qFormat/>
    <w:uiPriority w:val="0"/>
    <w:rPr>
      <w:b/>
      <w:bCs/>
    </w:rPr>
  </w:style>
  <w:style w:type="character" w:styleId="16">
    <w:name w:val="Strong"/>
    <w:basedOn w:val="15"/>
    <w:qFormat/>
    <w:uiPriority w:val="22"/>
    <w:rPr>
      <w:b/>
      <w:bCs/>
    </w:rPr>
  </w:style>
  <w:style w:type="character" w:styleId="17">
    <w:name w:val="annotation reference"/>
    <w:basedOn w:val="15"/>
    <w:qFormat/>
    <w:uiPriority w:val="0"/>
    <w:rPr>
      <w:sz w:val="21"/>
      <w:szCs w:val="21"/>
    </w:rPr>
  </w:style>
  <w:style w:type="paragraph" w:customStyle="1" w:styleId="18">
    <w:name w:val="章标题"/>
    <w:next w:val="1"/>
    <w:qFormat/>
    <w:uiPriority w:val="0"/>
    <w:pPr>
      <w:numPr>
        <w:ilvl w:val="0"/>
        <w:numId w:val="1"/>
      </w:numPr>
      <w:spacing w:before="312" w:beforeLines="100" w:after="312" w:afterLines="100" w:line="259" w:lineRule="auto"/>
      <w:jc w:val="both"/>
      <w:outlineLvl w:val="1"/>
    </w:pPr>
    <w:rPr>
      <w:rFonts w:ascii="黑体" w:hAnsi="Calibri" w:eastAsia="黑体" w:cs="Times New Roman"/>
      <w:sz w:val="21"/>
      <w:lang w:val="en-US" w:eastAsia="zh-CN" w:bidi="ar-SA"/>
    </w:rPr>
  </w:style>
  <w:style w:type="paragraph" w:customStyle="1" w:styleId="19">
    <w:name w:val="段"/>
    <w:qFormat/>
    <w:uiPriority w:val="0"/>
    <w:pPr>
      <w:tabs>
        <w:tab w:val="center" w:pos="4201"/>
        <w:tab w:val="right" w:leader="dot" w:pos="9298"/>
      </w:tabs>
      <w:autoSpaceDE w:val="0"/>
      <w:autoSpaceDN w:val="0"/>
      <w:spacing w:after="160" w:line="259" w:lineRule="auto"/>
      <w:ind w:firstLine="420" w:firstLineChars="200"/>
      <w:jc w:val="both"/>
    </w:pPr>
    <w:rPr>
      <w:rFonts w:ascii="宋体" w:hAnsi="Calibri" w:eastAsia="仿宋_GB2312" w:cs="Times New Roman"/>
      <w:sz w:val="21"/>
      <w:lang w:val="en-US" w:eastAsia="zh-CN" w:bidi="ar-SA"/>
    </w:rPr>
  </w:style>
  <w:style w:type="paragraph" w:customStyle="1" w:styleId="20">
    <w:name w:val="一级条标题"/>
    <w:next w:val="19"/>
    <w:qFormat/>
    <w:uiPriority w:val="0"/>
    <w:pPr>
      <w:numPr>
        <w:ilvl w:val="1"/>
        <w:numId w:val="1"/>
      </w:numPr>
      <w:spacing w:before="156" w:beforeLines="50" w:after="156" w:afterLines="50" w:line="259" w:lineRule="auto"/>
      <w:outlineLvl w:val="2"/>
    </w:pPr>
    <w:rPr>
      <w:rFonts w:ascii="黑体" w:hAnsi="Calibri" w:eastAsia="黑体" w:cs="Times New Roman"/>
      <w:sz w:val="21"/>
      <w:szCs w:val="21"/>
      <w:lang w:val="en-US" w:eastAsia="zh-CN" w:bidi="ar-SA"/>
    </w:rPr>
  </w:style>
  <w:style w:type="paragraph" w:customStyle="1" w:styleId="21">
    <w:name w:val="二级条标题"/>
    <w:basedOn w:val="20"/>
    <w:next w:val="19"/>
    <w:qFormat/>
    <w:uiPriority w:val="0"/>
    <w:pPr>
      <w:spacing w:before="50" w:after="50"/>
      <w:outlineLvl w:val="3"/>
    </w:pPr>
  </w:style>
  <w:style w:type="paragraph" w:customStyle="1" w:styleId="22">
    <w:name w:val="三级条标题"/>
    <w:basedOn w:val="21"/>
    <w:next w:val="19"/>
    <w:qFormat/>
    <w:uiPriority w:val="0"/>
    <w:pPr>
      <w:outlineLvl w:val="4"/>
    </w:pPr>
  </w:style>
  <w:style w:type="paragraph" w:customStyle="1" w:styleId="23">
    <w:name w:val="注：（正文）"/>
    <w:basedOn w:val="24"/>
    <w:next w:val="19"/>
    <w:qFormat/>
    <w:uiPriority w:val="0"/>
  </w:style>
  <w:style w:type="paragraph" w:customStyle="1" w:styleId="24">
    <w:name w:val="注："/>
    <w:next w:val="19"/>
    <w:qFormat/>
    <w:uiPriority w:val="0"/>
    <w:pPr>
      <w:widowControl w:val="0"/>
      <w:numPr>
        <w:ilvl w:val="0"/>
        <w:numId w:val="2"/>
      </w:numPr>
      <w:autoSpaceDE w:val="0"/>
      <w:autoSpaceDN w:val="0"/>
      <w:spacing w:after="160" w:line="259" w:lineRule="auto"/>
      <w:jc w:val="both"/>
    </w:pPr>
    <w:rPr>
      <w:rFonts w:ascii="宋体" w:hAnsi="Calibri" w:eastAsia="仿宋_GB2312" w:cs="Times New Roman"/>
      <w:sz w:val="18"/>
      <w:szCs w:val="18"/>
      <w:lang w:val="en-US" w:eastAsia="zh-CN" w:bidi="ar-SA"/>
    </w:rPr>
  </w:style>
  <w:style w:type="character" w:customStyle="1" w:styleId="25">
    <w:name w:val="批注框文本 Char"/>
    <w:basedOn w:val="15"/>
    <w:link w:val="8"/>
    <w:qFormat/>
    <w:uiPriority w:val="0"/>
    <w:rPr>
      <w:rFonts w:ascii="Calibri" w:hAnsi="Calibri" w:cs="黑体"/>
      <w:kern w:val="2"/>
      <w:sz w:val="18"/>
      <w:szCs w:val="18"/>
    </w:rPr>
  </w:style>
  <w:style w:type="paragraph" w:customStyle="1" w:styleId="26">
    <w:name w:val="修订1"/>
    <w:hidden/>
    <w:semiHidden/>
    <w:qFormat/>
    <w:uiPriority w:val="99"/>
    <w:rPr>
      <w:rFonts w:ascii="Calibri" w:hAnsi="Calibri" w:eastAsia="宋体" w:cs="黑体"/>
      <w:kern w:val="2"/>
      <w:sz w:val="21"/>
      <w:szCs w:val="22"/>
      <w:lang w:val="en-US" w:eastAsia="zh-CN" w:bidi="ar-SA"/>
    </w:rPr>
  </w:style>
  <w:style w:type="character" w:customStyle="1" w:styleId="27">
    <w:name w:val="批注文字 Char"/>
    <w:basedOn w:val="15"/>
    <w:link w:val="6"/>
    <w:qFormat/>
    <w:uiPriority w:val="0"/>
    <w:rPr>
      <w:rFonts w:ascii="Calibri" w:hAnsi="Calibri" w:cs="黑体"/>
      <w:kern w:val="2"/>
      <w:sz w:val="21"/>
      <w:szCs w:val="22"/>
    </w:rPr>
  </w:style>
  <w:style w:type="character" w:customStyle="1" w:styleId="28">
    <w:name w:val="批注主题 Char"/>
    <w:basedOn w:val="27"/>
    <w:link w:val="13"/>
    <w:qFormat/>
    <w:uiPriority w:val="0"/>
    <w:rPr>
      <w:rFonts w:ascii="Calibri" w:hAnsi="Calibri" w:cs="黑体"/>
      <w:b/>
      <w:bCs/>
      <w:kern w:val="2"/>
      <w:sz w:val="21"/>
      <w:szCs w:val="22"/>
    </w:rPr>
  </w:style>
  <w:style w:type="paragraph" w:customStyle="1" w:styleId="29">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A57F69-9FDA-43B9-B1E8-8D4FAAF5B56E}">
  <ds:schemaRefs/>
</ds:datastoreItem>
</file>

<file path=docProps/app.xml><?xml version="1.0" encoding="utf-8"?>
<Properties xmlns="http://schemas.openxmlformats.org/officeDocument/2006/extended-properties" xmlns:vt="http://schemas.openxmlformats.org/officeDocument/2006/docPropsVTypes">
  <Template>Normal.dotm</Template>
  <Pages>8</Pages>
  <Words>8868</Words>
  <Characters>50551</Characters>
  <Lines>421</Lines>
  <Paragraphs>118</Paragraphs>
  <TotalTime>4</TotalTime>
  <ScaleCrop>false</ScaleCrop>
  <LinksUpToDate>false</LinksUpToDate>
  <CharactersWithSpaces>59301</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2025-06-30T07:46:00Z</dcterms:created>
  <dc:creator>tangqinying</dc:creator>
  <cp:lastModifiedBy>耿娜娜</cp:lastModifiedBy>
  <dcterms:modified xsi:type="dcterms:W3CDTF">2025-10-27T03:20:20Z</dcterms:modified>
  <dc:title>声明书填写指南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ICV">
    <vt:lpwstr>FDBD57EFB37A450AA7229D19F6A0D00D_13</vt:lpwstr>
  </property>
  <property fmtid="{D5CDD505-2E9C-101B-9397-08002B2CF9AE}" pid="4" name="KSOTemplateDocerSaveRecord">
    <vt:lpwstr>eyJoZGlkIjoiOGZmMmNiM2Y0ZTk3MGVmNTUyNzNlZGI5Y2RiM2RmMWIiLCJ1c2VySWQiOiI3MTY4NjIzMTUifQ==</vt:lpwstr>
  </property>
  <property fmtid="{D5CDD505-2E9C-101B-9397-08002B2CF9AE}" pid="5" name="_KSOProductBuildMID">
    <vt:lpwstr>CYWFI6GI79UQ06BGQVRNRL0S7NMMOYVR9X0XNJDXXFG8TEWT6MBRYC0HFY5HP86RXXMXSOL0ZH578IEJRXFAYFF78RF0WOWBASOOYHB3DF24556406EC125F9B3D76FF9B6AD526</vt:lpwstr>
  </property>
  <property fmtid="{D5CDD505-2E9C-101B-9397-08002B2CF9AE}" pid="6" name="_KSOProductBuildSID">
    <vt:lpwstr>CYWMP6GP79VA0TBGQPR8ILJZ7N8MOYPREJ06TJDVXFB8TECTNRBJQCJWFSVHP8RRBFMXJOLSZIWD8LXJRXFTDF8H8RL0WICB8SOOKHB3FF5426F1B90A76A6FEC2D42A03195277</vt:lpwstr>
  </property>
</Properties>
</file>